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D5" w:rsidRPr="002D67F7" w:rsidRDefault="00BC60D5" w:rsidP="00951A08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2D67F7">
        <w:rPr>
          <w:rFonts w:ascii="Century Gothic" w:hAnsi="Century Gothic"/>
          <w:b/>
          <w:bCs/>
          <w:sz w:val="24"/>
          <w:szCs w:val="24"/>
        </w:rPr>
        <w:t xml:space="preserve">AMBASSADORS FUND FOR CULTURAL PRESERVATION </w:t>
      </w:r>
      <w:r w:rsidR="002D67F7" w:rsidRPr="002D67F7">
        <w:rPr>
          <w:rFonts w:ascii="Century Gothic" w:hAnsi="Century Gothic"/>
          <w:b/>
          <w:bCs/>
          <w:sz w:val="24"/>
          <w:szCs w:val="24"/>
        </w:rPr>
        <w:t>2021</w:t>
      </w:r>
    </w:p>
    <w:p w:rsidR="00BC60D5" w:rsidRPr="002D67F7" w:rsidRDefault="00BC60D5" w:rsidP="00951A08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:rsidR="00C92D95" w:rsidRPr="002D67F7" w:rsidRDefault="00BC60D5" w:rsidP="00951A08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2D67F7">
        <w:rPr>
          <w:rFonts w:ascii="Century Gothic" w:hAnsi="Century Gothic"/>
          <w:b/>
          <w:bCs/>
          <w:sz w:val="24"/>
          <w:szCs w:val="24"/>
        </w:rPr>
        <w:t xml:space="preserve">U.S. EMBASSY TO ROMANIA - </w:t>
      </w:r>
      <w:r w:rsidR="00C92D95" w:rsidRPr="002D67F7">
        <w:rPr>
          <w:rFonts w:ascii="Century Gothic" w:hAnsi="Century Gothic"/>
          <w:b/>
          <w:bCs/>
          <w:sz w:val="24"/>
          <w:szCs w:val="24"/>
        </w:rPr>
        <w:t>CULTURAL HERITAGE CENTER –</w:t>
      </w:r>
      <w:r w:rsidR="00640B8C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C92D95" w:rsidRPr="002D67F7">
        <w:rPr>
          <w:rFonts w:ascii="Century Gothic" w:hAnsi="Century Gothic"/>
          <w:b/>
          <w:bCs/>
          <w:sz w:val="24"/>
          <w:szCs w:val="24"/>
        </w:rPr>
        <w:t>U.S. DEPARTMENT OF STATE</w:t>
      </w:r>
    </w:p>
    <w:p w:rsidR="00C92D95" w:rsidRPr="00F01BFC" w:rsidRDefault="002D67F7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Application Guide</w:t>
      </w:r>
    </w:p>
    <w:p w:rsidR="00C92D95" w:rsidRPr="00F01BFC" w:rsidRDefault="00C92D95" w:rsidP="0021226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 xml:space="preserve">1. Summary: The </w:t>
      </w:r>
      <w:r w:rsidR="002D67F7">
        <w:rPr>
          <w:rFonts w:ascii="Century Gothic" w:hAnsi="Century Gothic"/>
          <w:sz w:val="24"/>
          <w:szCs w:val="24"/>
        </w:rPr>
        <w:t xml:space="preserve">U.S. Embassy to Romania and the </w:t>
      </w:r>
      <w:r w:rsidRPr="00F01BFC">
        <w:rPr>
          <w:rFonts w:ascii="Century Gothic" w:hAnsi="Century Gothic"/>
          <w:sz w:val="24"/>
          <w:szCs w:val="24"/>
        </w:rPr>
        <w:t>Cultural Heritage Center (“the Center”) in the Bureau of Educational and</w:t>
      </w:r>
      <w:r w:rsidR="002D67F7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 xml:space="preserve">Cultural Affairs (ECA) </w:t>
      </w:r>
      <w:r w:rsidR="002D67F7">
        <w:rPr>
          <w:rFonts w:ascii="Century Gothic" w:hAnsi="Century Gothic"/>
          <w:sz w:val="24"/>
          <w:szCs w:val="24"/>
        </w:rPr>
        <w:t xml:space="preserve">are </w:t>
      </w:r>
      <w:r w:rsidRPr="00F01BFC">
        <w:rPr>
          <w:rFonts w:ascii="Century Gothic" w:hAnsi="Century Gothic"/>
          <w:sz w:val="24"/>
          <w:szCs w:val="24"/>
        </w:rPr>
        <w:t>pleased to announce the start of the U.S. Ambassadors Fund for Cultural</w:t>
      </w:r>
      <w:r w:rsidR="002D67F7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 xml:space="preserve">Preservation (AFCP) 2021 Grants Program. </w:t>
      </w:r>
    </w:p>
    <w:p w:rsidR="00212269" w:rsidRPr="00F01BFC" w:rsidRDefault="00212269" w:rsidP="0021226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a. The Center is combining the small and large grant programs into a single</w:t>
      </w:r>
      <w:r w:rsidR="00212269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program. Pending availability of funds, awards will range from $10,000 to $500,000.</w:t>
      </w:r>
    </w:p>
    <w:p w:rsidR="00212269" w:rsidRDefault="00C92D95" w:rsidP="00951A08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b. To ease the administrative burden on embassies and potential grantees, the Center is</w:t>
      </w:r>
      <w:r w:rsidR="00212269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dividing the application process into two rounds and reducing the amount of information</w:t>
      </w:r>
      <w:r w:rsidR="00212269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required up front. The first streamlined round will collect project ideas from embassies in</w:t>
      </w:r>
      <w:r w:rsidR="00212269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the form o</w:t>
      </w:r>
      <w:r w:rsidR="00212269" w:rsidRPr="00F01BFC">
        <w:rPr>
          <w:rFonts w:ascii="Century Gothic" w:hAnsi="Century Gothic"/>
          <w:sz w:val="24"/>
          <w:szCs w:val="24"/>
        </w:rPr>
        <w:t xml:space="preserve">f concept notes, </w:t>
      </w:r>
      <w:r w:rsidR="00212269" w:rsidRPr="00BC60D5">
        <w:rPr>
          <w:rFonts w:ascii="Century Gothic" w:hAnsi="Century Gothic"/>
          <w:b/>
          <w:bCs/>
          <w:sz w:val="24"/>
          <w:szCs w:val="24"/>
        </w:rPr>
        <w:t xml:space="preserve">due November </w:t>
      </w:r>
      <w:r w:rsidR="009C4400" w:rsidRPr="00BC60D5">
        <w:rPr>
          <w:rFonts w:ascii="Century Gothic" w:hAnsi="Century Gothic"/>
          <w:b/>
          <w:bCs/>
          <w:sz w:val="24"/>
          <w:szCs w:val="24"/>
        </w:rPr>
        <w:t>1</w:t>
      </w:r>
      <w:r w:rsidR="007F3A91">
        <w:rPr>
          <w:rFonts w:ascii="Century Gothic" w:hAnsi="Century Gothic"/>
          <w:b/>
          <w:bCs/>
          <w:sz w:val="24"/>
          <w:szCs w:val="24"/>
        </w:rPr>
        <w:t>8</w:t>
      </w:r>
      <w:r w:rsidRPr="00BC60D5">
        <w:rPr>
          <w:rFonts w:ascii="Century Gothic" w:hAnsi="Century Gothic"/>
          <w:b/>
          <w:bCs/>
          <w:sz w:val="24"/>
          <w:szCs w:val="24"/>
        </w:rPr>
        <w:t xml:space="preserve">, 2020. </w:t>
      </w:r>
    </w:p>
    <w:p w:rsidR="002F48AB" w:rsidRDefault="002F48AB" w:rsidP="00951A08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:rsidR="002F48AB" w:rsidRPr="00CA57ED" w:rsidRDefault="002F48AB" w:rsidP="00951A08">
      <w:pPr>
        <w:spacing w:after="0" w:line="240" w:lineRule="auto"/>
        <w:rPr>
          <w:rFonts w:ascii="Century Gothic" w:hAnsi="Century Gothic"/>
          <w:b/>
          <w:bCs/>
          <w:sz w:val="24"/>
          <w:szCs w:val="24"/>
          <w:highlight w:val="yellow"/>
        </w:rPr>
      </w:pPr>
      <w:r w:rsidRPr="00CA57ED">
        <w:rPr>
          <w:rFonts w:ascii="Century Gothic" w:hAnsi="Century Gothic"/>
          <w:b/>
          <w:bCs/>
          <w:sz w:val="24"/>
          <w:szCs w:val="24"/>
          <w:highlight w:val="yellow"/>
        </w:rPr>
        <w:t xml:space="preserve">Concept notes, including photographs, should be send in </w:t>
      </w:r>
      <w:r w:rsidR="00CA57ED">
        <w:rPr>
          <w:rFonts w:ascii="Century Gothic" w:hAnsi="Century Gothic"/>
          <w:b/>
          <w:bCs/>
          <w:sz w:val="24"/>
          <w:szCs w:val="24"/>
          <w:highlight w:val="yellow"/>
        </w:rPr>
        <w:t xml:space="preserve">high level proficiency </w:t>
      </w:r>
      <w:r w:rsidRPr="00CA57ED">
        <w:rPr>
          <w:rFonts w:ascii="Century Gothic" w:hAnsi="Century Gothic"/>
          <w:b/>
          <w:bCs/>
          <w:sz w:val="24"/>
          <w:szCs w:val="24"/>
          <w:highlight w:val="yellow"/>
        </w:rPr>
        <w:t xml:space="preserve">English, at the following e-mail address: </w:t>
      </w:r>
      <w:hyperlink r:id="rId6" w:history="1">
        <w:r w:rsidR="003210E4" w:rsidRPr="000C7B80">
          <w:rPr>
            <w:rStyle w:val="Hyperlink"/>
            <w:rFonts w:ascii="Century Gothic" w:hAnsi="Century Gothic"/>
            <w:b/>
            <w:bCs/>
            <w:sz w:val="24"/>
            <w:szCs w:val="24"/>
            <w:highlight w:val="yellow"/>
          </w:rPr>
          <w:t>alexandrescui@state.gov</w:t>
        </w:r>
      </w:hyperlink>
      <w:r w:rsidRPr="00CA57ED">
        <w:rPr>
          <w:rFonts w:ascii="Century Gothic" w:hAnsi="Century Gothic"/>
          <w:b/>
          <w:bCs/>
          <w:sz w:val="24"/>
          <w:szCs w:val="24"/>
          <w:highlight w:val="yellow"/>
        </w:rPr>
        <w:t xml:space="preserve">. </w:t>
      </w:r>
    </w:p>
    <w:p w:rsidR="002F48AB" w:rsidRPr="00CA57ED" w:rsidRDefault="002F48AB" w:rsidP="00951A08">
      <w:pPr>
        <w:spacing w:after="0" w:line="240" w:lineRule="auto"/>
        <w:rPr>
          <w:rFonts w:ascii="Century Gothic" w:hAnsi="Century Gothic"/>
          <w:b/>
          <w:bCs/>
          <w:sz w:val="24"/>
          <w:szCs w:val="24"/>
          <w:highlight w:val="yellow"/>
        </w:rPr>
      </w:pPr>
    </w:p>
    <w:p w:rsidR="002F48AB" w:rsidRPr="00BC60D5" w:rsidRDefault="002F48AB" w:rsidP="00951A08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CA57ED">
        <w:rPr>
          <w:rFonts w:ascii="Century Gothic" w:hAnsi="Century Gothic"/>
          <w:b/>
          <w:bCs/>
          <w:sz w:val="24"/>
          <w:szCs w:val="24"/>
          <w:highlight w:val="yellow"/>
        </w:rPr>
        <w:t>If applicants will not receive confirmation e-mails within 24 hours, they should call the following phone number 0721 288 797, between 10 – 17 hrs.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="00212269" w:rsidRPr="00F01BFC" w:rsidRDefault="00212269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In Round 2, the Center will invite</w:t>
      </w:r>
      <w:r w:rsidR="00212269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 xml:space="preserve">embassies with promising ideas to submit full project applications, due March </w:t>
      </w:r>
      <w:r w:rsidR="005F224D">
        <w:rPr>
          <w:rFonts w:ascii="Century Gothic" w:hAnsi="Century Gothic"/>
          <w:sz w:val="24"/>
          <w:szCs w:val="24"/>
        </w:rPr>
        <w:t>8</w:t>
      </w:r>
      <w:r w:rsidRPr="00F01BFC">
        <w:rPr>
          <w:rFonts w:ascii="Century Gothic" w:hAnsi="Century Gothic"/>
          <w:sz w:val="24"/>
          <w:szCs w:val="24"/>
        </w:rPr>
        <w:t>, 2021.</w:t>
      </w:r>
    </w:p>
    <w:p w:rsidR="00212269" w:rsidRPr="00F01BFC" w:rsidRDefault="00212269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12269" w:rsidRPr="00F01BFC" w:rsidRDefault="00C92D95" w:rsidP="0021226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2. AFCP Program Objectives: The Department of State established the AFCP in 2000 at the</w:t>
      </w:r>
      <w:r w:rsidR="00212269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request of Congress (Conference Report 106-1005 accompanying H.R. 4942). At the time, the</w:t>
      </w:r>
      <w:r w:rsidR="00212269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 xml:space="preserve">Senate noted that the preservation of cultural heritage “offers an opportunity to </w:t>
      </w:r>
      <w:r w:rsidR="00212269" w:rsidRPr="00F01BFC">
        <w:rPr>
          <w:rFonts w:ascii="Century Gothic" w:hAnsi="Century Gothic"/>
          <w:sz w:val="24"/>
          <w:szCs w:val="24"/>
        </w:rPr>
        <w:t>show respect</w:t>
      </w:r>
      <w:r w:rsidRPr="00F01BFC">
        <w:rPr>
          <w:rFonts w:ascii="Century Gothic" w:hAnsi="Century Gothic"/>
          <w:sz w:val="24"/>
          <w:szCs w:val="24"/>
        </w:rPr>
        <w:t xml:space="preserve"> for other cultures. 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AFCP projects strengthen civil society, encourage good governance, and</w:t>
      </w:r>
      <w:r w:rsidR="00212269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promote political and economic stability around the world.</w:t>
      </w:r>
    </w:p>
    <w:p w:rsidR="00E93428" w:rsidRPr="00F01BFC" w:rsidRDefault="00E93428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3. Competition Format: Beginning with FY 2021, the Center is combining the AFCP small and</w:t>
      </w:r>
      <w:r w:rsidR="008D4F47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 xml:space="preserve">large grant programs into a single program. The Center will select from </w:t>
      </w:r>
      <w:r w:rsidR="00E93428" w:rsidRPr="00F01BFC">
        <w:rPr>
          <w:rFonts w:ascii="Century Gothic" w:hAnsi="Century Gothic"/>
          <w:sz w:val="24"/>
          <w:szCs w:val="24"/>
        </w:rPr>
        <w:t xml:space="preserve">proposed projects </w:t>
      </w:r>
      <w:r w:rsidRPr="00F01BFC">
        <w:rPr>
          <w:rFonts w:ascii="Century Gothic" w:hAnsi="Century Gothic"/>
          <w:sz w:val="24"/>
          <w:szCs w:val="24"/>
        </w:rPr>
        <w:t>among them using a process with two rounds. During</w:t>
      </w:r>
      <w:r w:rsidR="00E93428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Round 1, embassies will submit</w:t>
      </w:r>
      <w:r w:rsidR="00C84686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concept note</w:t>
      </w:r>
      <w:r w:rsidR="00C84686">
        <w:rPr>
          <w:rFonts w:ascii="Century Gothic" w:hAnsi="Century Gothic"/>
          <w:sz w:val="24"/>
          <w:szCs w:val="24"/>
        </w:rPr>
        <w:t>s</w:t>
      </w:r>
      <w:r w:rsidRPr="00F01BFC">
        <w:rPr>
          <w:rFonts w:ascii="Century Gothic" w:hAnsi="Century Gothic"/>
          <w:sz w:val="24"/>
          <w:szCs w:val="24"/>
        </w:rPr>
        <w:t xml:space="preserve"> focused on the public diplomacy objectives that</w:t>
      </w:r>
      <w:r w:rsidR="0049212C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may be accomplished through the proposed project</w:t>
      </w:r>
      <w:r w:rsidR="0011221B">
        <w:rPr>
          <w:rFonts w:ascii="Century Gothic" w:hAnsi="Century Gothic"/>
          <w:sz w:val="24"/>
          <w:szCs w:val="24"/>
        </w:rPr>
        <w:t>s</w:t>
      </w:r>
      <w:r w:rsidRPr="00F01BFC">
        <w:rPr>
          <w:rFonts w:ascii="Century Gothic" w:hAnsi="Century Gothic"/>
          <w:sz w:val="24"/>
          <w:szCs w:val="24"/>
        </w:rPr>
        <w:t>. Embassies invited to participate in Round</w:t>
      </w:r>
      <w:r w:rsidR="0049212C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2 will flesh out the technical aspects of the proposed project</w:t>
      </w:r>
      <w:r w:rsidR="00443024">
        <w:rPr>
          <w:rFonts w:ascii="Century Gothic" w:hAnsi="Century Gothic"/>
          <w:sz w:val="24"/>
          <w:szCs w:val="24"/>
        </w:rPr>
        <w:t>s</w:t>
      </w:r>
      <w:r w:rsidRPr="00F01BFC">
        <w:rPr>
          <w:rFonts w:ascii="Century Gothic" w:hAnsi="Century Gothic"/>
          <w:sz w:val="24"/>
          <w:szCs w:val="24"/>
        </w:rPr>
        <w:t xml:space="preserve"> and submit</w:t>
      </w:r>
      <w:r w:rsidR="00443024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full</w:t>
      </w:r>
      <w:r w:rsidR="00207553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application</w:t>
      </w:r>
      <w:r w:rsidR="00443024">
        <w:rPr>
          <w:rFonts w:ascii="Century Gothic" w:hAnsi="Century Gothic"/>
          <w:sz w:val="24"/>
          <w:szCs w:val="24"/>
        </w:rPr>
        <w:t>s</w:t>
      </w:r>
      <w:r w:rsidRPr="00F01BFC">
        <w:rPr>
          <w:rFonts w:ascii="Century Gothic" w:hAnsi="Century Gothic"/>
          <w:sz w:val="24"/>
          <w:szCs w:val="24"/>
        </w:rPr>
        <w:t>. Awards will range from $10,000 to $500,000. The Center anticipates funding 30 to</w:t>
      </w:r>
      <w:r w:rsidR="0049212C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40 projects.</w:t>
      </w:r>
    </w:p>
    <w:p w:rsidR="00987775" w:rsidRPr="00F01BFC" w:rsidRDefault="0098777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92D95" w:rsidRPr="00F01BFC" w:rsidRDefault="00C92D95" w:rsidP="009505D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4. AFCP 2021 Application Guide: Refer to this AFCP 2021 Application Guide for additional</w:t>
      </w:r>
      <w:r w:rsidR="008D4F47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information on country eligibility, program funding areas, project design assistance, concept</w:t>
      </w:r>
      <w:r w:rsidR="008D4F47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note and application requirements, ineligible activities, unallowable costs, and the application</w:t>
      </w:r>
      <w:r w:rsidR="008D4F47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 xml:space="preserve">review process. </w:t>
      </w:r>
    </w:p>
    <w:p w:rsidR="009505DB" w:rsidRPr="00F01BFC" w:rsidRDefault="009505DB" w:rsidP="009505D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D4F47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5. Eligible Countries: The AFCP 2021 Grants Program is open to embassies in countries based</w:t>
      </w:r>
      <w:r w:rsidR="008D4F47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 xml:space="preserve">on ranking in the 2019 U.N. Human Development Index. 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The eligible countries for the AFCP in FY 2021 are: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Afghanistan, Albania, Algeria, Angola, Antigua &amp; Barbuda, Armenia, Azerbaijan, Bahamas,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Bangladesh, Barbados, Belarus, Belize, Benin, Bhutan, Bolivia, Bosnia &amp; Herzegovina, Botswana,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 xml:space="preserve">Brazil, Bulgaria, Burkina Faso, Burma, Burundi, </w:t>
      </w:r>
      <w:proofErr w:type="spellStart"/>
      <w:r w:rsidRPr="00F01BFC">
        <w:rPr>
          <w:rFonts w:ascii="Century Gothic" w:hAnsi="Century Gothic"/>
          <w:sz w:val="24"/>
          <w:szCs w:val="24"/>
        </w:rPr>
        <w:t>Cabo</w:t>
      </w:r>
      <w:proofErr w:type="spellEnd"/>
      <w:r w:rsidRPr="00F01BFC">
        <w:rPr>
          <w:rFonts w:ascii="Century Gothic" w:hAnsi="Century Gothic"/>
          <w:sz w:val="24"/>
          <w:szCs w:val="24"/>
        </w:rPr>
        <w:t xml:space="preserve"> Verde, Cambodia, Cameroon, Central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African Republic, Chad, Colombia, Comoros, Congo (Democratic Republic of the), Congo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(Republic of), Costa Rica, Cote d’Ivoire, Cuba, Djibouti, Dominica, Dominican Republic, Ecuador,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 xml:space="preserve">Egypt, El Salvador, Equatorial Guinea, Eritrea, </w:t>
      </w:r>
      <w:proofErr w:type="spellStart"/>
      <w:r w:rsidRPr="00F01BFC">
        <w:rPr>
          <w:rFonts w:ascii="Century Gothic" w:hAnsi="Century Gothic"/>
          <w:sz w:val="24"/>
          <w:szCs w:val="24"/>
        </w:rPr>
        <w:t>Eswatini</w:t>
      </w:r>
      <w:proofErr w:type="spellEnd"/>
      <w:r w:rsidRPr="00F01BFC">
        <w:rPr>
          <w:rFonts w:ascii="Century Gothic" w:hAnsi="Century Gothic"/>
          <w:sz w:val="24"/>
          <w:szCs w:val="24"/>
        </w:rPr>
        <w:t>, Ethiopia, Fiji, Gabon, Gambia, Georgia,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Ghana, Grenada, Guatemala, Guinea, Guinea-Bissau, Guyana, Haiti, Honduras, India, Indonesia,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Iraq, Jamaica, Jordan, Kazakhstan, Kenya, Kiribati, Kosovo, Kuwait, Kyrgyz Republic, Laos,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Lebanon, Lesotho, Liberia, Libya, Macedonia, Madagascar, Malawi, Malaysia, Maldives, Mali,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Marshall Islands, Mauritania, Mauritius, Mexico, Micronesia, Moldova, Mongolia, Montenegro,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Morocco, Mozambique, Namibia, Nauru, Nepal, Nicaragua, Niger, Nigeria, Pakistan, Palau,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Panama, Papua New Guinea, Paraguay, Peru, Philippines, Romania, Russia, Rwanda, Saint Kitts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&amp; Nevis, Saint Lucia, Saint Vincent &amp; the Grenadines, Samoa, Sao Tome &amp; Principe, Senegal,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Serbia, Seychelles, Sierra Leone, Solomon Islands, Somalia, South Africa, South Sudan, Sri Lanka,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Sudan, Suriname, Syria, Tajikistan, Tanzania, Thailand, Timor-Leste, Togo, Tonga, Trinidad &amp;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Tobago, Tunisia, Turkey, Turkmenistan, Tuvalu, Uganda, Ukraine, Uruguay, Uzbekistan,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Vanuatu, Venezuela, Vietnam, Yemen, Zambia, and Zimbabwe. Note: Embassy Antananarivo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may apply for Comoros; Bridgetown for Antigua &amp; Barbuda, Dominica, Grenada, Saint Kitts &amp;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Nevis, Saint Lucia, and Saint Vincent &amp; the Grenadines; Colombo for Maldives; Dakar for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Guinea-Bissau; Libreville for Sao Tome &amp; Principe; New Delhi for Bhutan; Port Louis for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Seychelles; Port Moresby for Solomon Islands and Vanuatu; Suva for Kiribati, Nauru, Tonga, and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 xml:space="preserve">Tuvalu. </w:t>
      </w:r>
    </w:p>
    <w:p w:rsidR="005F0D9D" w:rsidRPr="00F01BFC" w:rsidRDefault="005F0D9D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6. Funding Areas: The AFCP Grants Program supports the preservation of archaeological sites,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historic buildings and monuments, museum collections, and forms of traditional cultural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expression, such as indigenous languages and crafts. Appropriate project activities may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include: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 xml:space="preserve">a. </w:t>
      </w:r>
      <w:proofErr w:type="spellStart"/>
      <w:r w:rsidRPr="00F01BFC">
        <w:rPr>
          <w:rFonts w:ascii="Century Gothic" w:hAnsi="Century Gothic"/>
          <w:sz w:val="24"/>
          <w:szCs w:val="24"/>
        </w:rPr>
        <w:t>Anastylosis</w:t>
      </w:r>
      <w:proofErr w:type="spellEnd"/>
      <w:r w:rsidRPr="00F01BFC">
        <w:rPr>
          <w:rFonts w:ascii="Century Gothic" w:hAnsi="Century Gothic"/>
          <w:sz w:val="24"/>
          <w:szCs w:val="24"/>
        </w:rPr>
        <w:t xml:space="preserve"> (reassembling a site from its original parts);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b. Conservation (addressing damage or deterioration to an object or site);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c. Consolidation (connecting or reconnecting elements of an object or site);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lastRenderedPageBreak/>
        <w:t>d. Documentation (recording in analog or digital format the condition and salient features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of an object, site, or tradition);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e. Inventory (listing of objects, sites, or traditions by location, feature, age, or other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unifying characteristic or state);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F01BFC">
        <w:rPr>
          <w:rFonts w:ascii="Century Gothic" w:hAnsi="Century Gothic"/>
          <w:sz w:val="24"/>
          <w:szCs w:val="24"/>
        </w:rPr>
        <w:t>f</w:t>
      </w:r>
      <w:proofErr w:type="gramEnd"/>
      <w:r w:rsidRPr="00F01BFC">
        <w:rPr>
          <w:rFonts w:ascii="Century Gothic" w:hAnsi="Century Gothic"/>
          <w:sz w:val="24"/>
          <w:szCs w:val="24"/>
        </w:rPr>
        <w:t>. Preventive Conservation (addressing conditions that threaten or damage a site, object,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collection, or tradition);</w:t>
      </w:r>
    </w:p>
    <w:p w:rsidR="005F0D9D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g. Restoration (replacing missing elements to recreate the original appearance of an object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or site, usually appropriate only with fine arts, decorative arts, and historic buildings);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h. Stabilization (reducing the physical disturbance of an object or site).</w:t>
      </w:r>
    </w:p>
    <w:p w:rsidR="005F0D9D" w:rsidRPr="00F01BFC" w:rsidRDefault="005F0D9D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92D95" w:rsidRPr="00F01BFC" w:rsidRDefault="00C92D95" w:rsidP="005F0D9D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7. Sites and Objects Having a Religious Connection: The establishment clause of the U.S.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Constitution permits the government to include religious objects and sites within an aid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program under certain conditions. For example, an item with a religious connection (including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a place of worship) may be the subject of a cultural preservation grant if the item derives its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primary significance and is nominated solely on the basis of architectural, artistic, historical, or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 xml:space="preserve">other cultural (not religious) criteria. 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F0D9D" w:rsidRPr="00F01BFC" w:rsidRDefault="005F0D9D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8</w:t>
      </w:r>
      <w:r w:rsidR="00C92D95" w:rsidRPr="00F01BFC">
        <w:rPr>
          <w:rFonts w:ascii="Century Gothic" w:hAnsi="Century Gothic"/>
          <w:sz w:val="24"/>
          <w:szCs w:val="24"/>
        </w:rPr>
        <w:t>. Eligible Project Implementers: The Center defines eligible project implementers as</w:t>
      </w:r>
      <w:r w:rsidRPr="00F01BFC">
        <w:rPr>
          <w:rFonts w:ascii="Century Gothic" w:hAnsi="Century Gothic"/>
          <w:sz w:val="24"/>
          <w:szCs w:val="24"/>
        </w:rPr>
        <w:t xml:space="preserve"> </w:t>
      </w:r>
      <w:r w:rsidR="00C92D95" w:rsidRPr="00F01BFC">
        <w:rPr>
          <w:rFonts w:ascii="Century Gothic" w:hAnsi="Century Gothic"/>
          <w:sz w:val="24"/>
          <w:szCs w:val="24"/>
        </w:rPr>
        <w:t>reputable and accountable non-commercial entities that are able to demonstrate they have the</w:t>
      </w:r>
      <w:r w:rsidRPr="00F01BFC">
        <w:rPr>
          <w:rFonts w:ascii="Century Gothic" w:hAnsi="Century Gothic"/>
          <w:sz w:val="24"/>
          <w:szCs w:val="24"/>
        </w:rPr>
        <w:t xml:space="preserve"> </w:t>
      </w:r>
      <w:r w:rsidR="00C92D95" w:rsidRPr="00F01BFC">
        <w:rPr>
          <w:rFonts w:ascii="Century Gothic" w:hAnsi="Century Gothic"/>
          <w:sz w:val="24"/>
          <w:szCs w:val="24"/>
        </w:rPr>
        <w:t>requisite capacity to manage projects to preserve cultural heritage. Eligible implementers may</w:t>
      </w:r>
      <w:r w:rsidRPr="00F01BFC">
        <w:rPr>
          <w:rFonts w:ascii="Century Gothic" w:hAnsi="Century Gothic"/>
          <w:sz w:val="24"/>
          <w:szCs w:val="24"/>
        </w:rPr>
        <w:t xml:space="preserve"> </w:t>
      </w:r>
      <w:r w:rsidR="00C92D95" w:rsidRPr="00F01BFC">
        <w:rPr>
          <w:rFonts w:ascii="Century Gothic" w:hAnsi="Century Gothic"/>
          <w:sz w:val="24"/>
          <w:szCs w:val="24"/>
        </w:rPr>
        <w:t>include non-governmental organizations, museums, educational institutions, ministries of culture, or similar institutions and organizations, including U.S.-based educational institutions</w:t>
      </w:r>
      <w:r w:rsidRPr="00F01BFC">
        <w:rPr>
          <w:rFonts w:ascii="Century Gothic" w:hAnsi="Century Gothic"/>
          <w:sz w:val="24"/>
          <w:szCs w:val="24"/>
        </w:rPr>
        <w:t xml:space="preserve"> </w:t>
      </w:r>
      <w:r w:rsidR="00C92D95" w:rsidRPr="00F01BFC">
        <w:rPr>
          <w:rFonts w:ascii="Century Gothic" w:hAnsi="Century Gothic"/>
          <w:sz w:val="24"/>
          <w:szCs w:val="24"/>
        </w:rPr>
        <w:t xml:space="preserve">and organizations subject to Section 501(c)(3) of the tax code. </w:t>
      </w:r>
    </w:p>
    <w:p w:rsidR="005F0D9D" w:rsidRPr="00F01BFC" w:rsidRDefault="005F0D9D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The AFCP will not award grants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to individuals, commercial entities, or past award recipients that have not fulfilled the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objectives or reporting requirements of previous awards.</w:t>
      </w:r>
    </w:p>
    <w:p w:rsidR="005F0D9D" w:rsidRPr="00F01BFC" w:rsidRDefault="00C92D95" w:rsidP="005F0D9D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3C7582">
        <w:rPr>
          <w:rFonts w:ascii="Century Gothic" w:hAnsi="Century Gothic"/>
          <w:sz w:val="24"/>
          <w:szCs w:val="24"/>
          <w:highlight w:val="yellow"/>
        </w:rPr>
        <w:t>Potential implementers must have a unique entity identifier, such as a DUNS</w:t>
      </w:r>
      <w:r w:rsidR="005F0D9D" w:rsidRPr="003C7582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Pr="003C7582">
        <w:rPr>
          <w:rFonts w:ascii="Century Gothic" w:hAnsi="Century Gothic"/>
          <w:sz w:val="24"/>
          <w:szCs w:val="24"/>
          <w:highlight w:val="yellow"/>
        </w:rPr>
        <w:t>number, and be registered and active in SAM.gov to r</w:t>
      </w:r>
      <w:r w:rsidR="005F0D9D" w:rsidRPr="003C7582">
        <w:rPr>
          <w:rFonts w:ascii="Century Gothic" w:hAnsi="Century Gothic"/>
          <w:sz w:val="24"/>
          <w:szCs w:val="24"/>
          <w:highlight w:val="yellow"/>
        </w:rPr>
        <w:t>eceive U.S. federal assistance</w:t>
      </w:r>
      <w:r w:rsidR="00474A3E">
        <w:rPr>
          <w:rFonts w:ascii="Century Gothic" w:hAnsi="Century Gothic"/>
          <w:sz w:val="24"/>
          <w:szCs w:val="24"/>
        </w:rPr>
        <w:t>.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Embassies must vet potential implementers for eligibility, suitability, and reputable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performance in cultural preservation or similar activities and ensure the potential grantees are</w:t>
      </w:r>
      <w:r w:rsidR="005F0D9D" w:rsidRPr="00F01BFC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able to receive U.S. federal assistance.</w:t>
      </w:r>
    </w:p>
    <w:p w:rsidR="000A60FC" w:rsidRPr="00F01BFC" w:rsidRDefault="000A60FC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A60FC" w:rsidRDefault="000A60FC" w:rsidP="000A60FC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9</w:t>
      </w:r>
      <w:r w:rsidR="00C92D95" w:rsidRPr="00F01BFC">
        <w:rPr>
          <w:rFonts w:ascii="Century Gothic" w:hAnsi="Century Gothic"/>
          <w:sz w:val="24"/>
          <w:szCs w:val="24"/>
        </w:rPr>
        <w:t xml:space="preserve">. Round 1 Concept Note Requirements (Deadline: November </w:t>
      </w:r>
      <w:r w:rsidR="0023111F">
        <w:rPr>
          <w:rFonts w:ascii="Century Gothic" w:hAnsi="Century Gothic"/>
          <w:sz w:val="24"/>
          <w:szCs w:val="24"/>
        </w:rPr>
        <w:t>18</w:t>
      </w:r>
      <w:r w:rsidR="00C92D95" w:rsidRPr="00F01BFC">
        <w:rPr>
          <w:rFonts w:ascii="Century Gothic" w:hAnsi="Century Gothic"/>
          <w:sz w:val="24"/>
          <w:szCs w:val="24"/>
        </w:rPr>
        <w:t xml:space="preserve">, 2020): </w:t>
      </w:r>
      <w:r w:rsidRPr="00F01BFC">
        <w:rPr>
          <w:rFonts w:ascii="Century Gothic" w:hAnsi="Century Gothic"/>
          <w:sz w:val="24"/>
          <w:szCs w:val="24"/>
        </w:rPr>
        <w:t>P</w:t>
      </w:r>
      <w:r w:rsidR="00C92D95" w:rsidRPr="00F01BFC">
        <w:rPr>
          <w:rFonts w:ascii="Century Gothic" w:hAnsi="Century Gothic"/>
          <w:sz w:val="24"/>
          <w:szCs w:val="24"/>
        </w:rPr>
        <w:t>rospective implemente</w:t>
      </w:r>
      <w:r w:rsidRPr="00F01BFC">
        <w:rPr>
          <w:rFonts w:ascii="Century Gothic" w:hAnsi="Century Gothic"/>
          <w:sz w:val="24"/>
          <w:szCs w:val="24"/>
        </w:rPr>
        <w:t>rs</w:t>
      </w:r>
      <w:r w:rsidR="00C92D95" w:rsidRPr="00F01BFC">
        <w:rPr>
          <w:rFonts w:ascii="Century Gothic" w:hAnsi="Century Gothic"/>
          <w:sz w:val="24"/>
          <w:szCs w:val="24"/>
        </w:rPr>
        <w:t xml:space="preserve"> will submit </w:t>
      </w:r>
      <w:r w:rsidRPr="00F01BFC">
        <w:rPr>
          <w:rFonts w:ascii="Century Gothic" w:hAnsi="Century Gothic"/>
          <w:sz w:val="24"/>
          <w:szCs w:val="24"/>
        </w:rPr>
        <w:t xml:space="preserve">to the U.S. Embassies/Public Diplomacy Departments </w:t>
      </w:r>
      <w:r w:rsidR="00C92D95" w:rsidRPr="00F01BFC">
        <w:rPr>
          <w:rFonts w:ascii="Century Gothic" w:hAnsi="Century Gothic"/>
          <w:sz w:val="24"/>
          <w:szCs w:val="24"/>
        </w:rPr>
        <w:t>completed concept notes</w:t>
      </w:r>
      <w:r w:rsidRPr="00F01BFC">
        <w:rPr>
          <w:rFonts w:ascii="Century Gothic" w:hAnsi="Century Gothic"/>
          <w:sz w:val="24"/>
          <w:szCs w:val="24"/>
        </w:rPr>
        <w:t xml:space="preserve"> </w:t>
      </w:r>
      <w:r w:rsidR="00C92D95" w:rsidRPr="00F01BFC">
        <w:rPr>
          <w:rFonts w:ascii="Century Gothic" w:hAnsi="Century Gothic"/>
          <w:sz w:val="24"/>
          <w:szCs w:val="24"/>
        </w:rPr>
        <w:t xml:space="preserve">by </w:t>
      </w:r>
      <w:r w:rsidR="003C7582">
        <w:rPr>
          <w:rFonts w:ascii="Century Gothic" w:hAnsi="Century Gothic"/>
          <w:sz w:val="24"/>
          <w:szCs w:val="24"/>
        </w:rPr>
        <w:t>Wednesday</w:t>
      </w:r>
      <w:r w:rsidR="00C92D95" w:rsidRPr="00F01BFC">
        <w:rPr>
          <w:rFonts w:ascii="Century Gothic" w:hAnsi="Century Gothic"/>
          <w:sz w:val="24"/>
          <w:szCs w:val="24"/>
        </w:rPr>
        <w:t xml:space="preserve">, November </w:t>
      </w:r>
      <w:r w:rsidR="0023111F">
        <w:rPr>
          <w:rFonts w:ascii="Century Gothic" w:hAnsi="Century Gothic"/>
          <w:sz w:val="24"/>
          <w:szCs w:val="24"/>
        </w:rPr>
        <w:t>18</w:t>
      </w:r>
      <w:r w:rsidRPr="00F01BFC">
        <w:rPr>
          <w:rFonts w:ascii="Century Gothic" w:hAnsi="Century Gothic"/>
          <w:sz w:val="24"/>
          <w:szCs w:val="24"/>
        </w:rPr>
        <w:t>, 2020, 11:59 p.m</w:t>
      </w:r>
      <w:r w:rsidR="00C92D95" w:rsidRPr="00F01BFC">
        <w:rPr>
          <w:rFonts w:ascii="Century Gothic" w:hAnsi="Century Gothic"/>
          <w:sz w:val="24"/>
          <w:szCs w:val="24"/>
        </w:rPr>
        <w:t xml:space="preserve">. </w:t>
      </w:r>
    </w:p>
    <w:p w:rsidR="007477B0" w:rsidRPr="00F01BFC" w:rsidRDefault="007477B0" w:rsidP="000A60F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92D95" w:rsidRDefault="00C92D95" w:rsidP="000A60FC">
      <w:pPr>
        <w:spacing w:after="0" w:line="240" w:lineRule="auto"/>
        <w:rPr>
          <w:rFonts w:ascii="Century Gothic" w:hAnsi="Century Gothic"/>
          <w:b/>
          <w:bCs/>
          <w:sz w:val="24"/>
          <w:szCs w:val="24"/>
          <w:highlight w:val="yellow"/>
        </w:rPr>
      </w:pPr>
      <w:r w:rsidRPr="00A53CB8">
        <w:rPr>
          <w:rFonts w:ascii="Century Gothic" w:hAnsi="Century Gothic"/>
          <w:b/>
          <w:bCs/>
          <w:sz w:val="24"/>
          <w:szCs w:val="24"/>
          <w:highlight w:val="yellow"/>
        </w:rPr>
        <w:t>Each concept note submitted must include:</w:t>
      </w:r>
    </w:p>
    <w:p w:rsidR="00A53CB8" w:rsidRPr="00A53CB8" w:rsidRDefault="00A53CB8" w:rsidP="000A60FC">
      <w:pPr>
        <w:spacing w:after="0" w:line="240" w:lineRule="auto"/>
        <w:rPr>
          <w:rFonts w:ascii="Century Gothic" w:hAnsi="Century Gothic"/>
          <w:b/>
          <w:bCs/>
          <w:sz w:val="24"/>
          <w:szCs w:val="24"/>
          <w:highlight w:val="yellow"/>
        </w:rPr>
      </w:pPr>
    </w:p>
    <w:p w:rsidR="00C92D95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  <w:highlight w:val="yellow"/>
        </w:rPr>
      </w:pPr>
      <w:r w:rsidRPr="00780B00">
        <w:rPr>
          <w:rFonts w:ascii="Century Gothic" w:hAnsi="Century Gothic"/>
          <w:sz w:val="24"/>
          <w:szCs w:val="24"/>
          <w:highlight w:val="yellow"/>
        </w:rPr>
        <w:lastRenderedPageBreak/>
        <w:t>a. Project basics, including working title, anticipated project length (in</w:t>
      </w:r>
      <w:r w:rsidR="000A60FC" w:rsidRPr="00780B00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Pr="00780B00">
        <w:rPr>
          <w:rFonts w:ascii="Century Gothic" w:hAnsi="Century Gothic"/>
          <w:sz w:val="24"/>
          <w:szCs w:val="24"/>
          <w:highlight w:val="yellow"/>
        </w:rPr>
        <w:t>months), location/site, and project cost estimate (amount requested from AFCP; in U.S.</w:t>
      </w:r>
      <w:r w:rsidR="000A60FC" w:rsidRPr="00780B00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Pr="00780B00">
        <w:rPr>
          <w:rFonts w:ascii="Century Gothic" w:hAnsi="Century Gothic"/>
          <w:sz w:val="24"/>
          <w:szCs w:val="24"/>
          <w:highlight w:val="yellow"/>
        </w:rPr>
        <w:t>dollars);</w:t>
      </w:r>
    </w:p>
    <w:p w:rsidR="00A53CB8" w:rsidRPr="00780B00" w:rsidRDefault="00A53CB8" w:rsidP="00951A08">
      <w:pPr>
        <w:spacing w:after="0" w:line="240" w:lineRule="auto"/>
        <w:rPr>
          <w:rFonts w:ascii="Century Gothic" w:hAnsi="Century Gothic"/>
          <w:sz w:val="24"/>
          <w:szCs w:val="24"/>
          <w:highlight w:val="yellow"/>
        </w:rPr>
      </w:pPr>
    </w:p>
    <w:p w:rsidR="000A60FC" w:rsidRPr="00780B00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  <w:highlight w:val="yellow"/>
        </w:rPr>
      </w:pPr>
      <w:r w:rsidRPr="00780B00">
        <w:rPr>
          <w:rFonts w:ascii="Century Gothic" w:hAnsi="Century Gothic"/>
          <w:sz w:val="24"/>
          <w:szCs w:val="24"/>
          <w:highlight w:val="yellow"/>
        </w:rPr>
        <w:t xml:space="preserve">b. Project implementer information, including name </w:t>
      </w:r>
      <w:r w:rsidR="00800CF1">
        <w:rPr>
          <w:rFonts w:ascii="Century Gothic" w:hAnsi="Century Gothic"/>
          <w:sz w:val="24"/>
          <w:szCs w:val="24"/>
          <w:highlight w:val="yellow"/>
        </w:rPr>
        <w:t xml:space="preserve">of the institution, name of the project coordinator, </w:t>
      </w:r>
      <w:r w:rsidR="00073AD8">
        <w:rPr>
          <w:rFonts w:ascii="Century Gothic" w:hAnsi="Century Gothic"/>
          <w:sz w:val="24"/>
          <w:szCs w:val="24"/>
          <w:highlight w:val="yellow"/>
        </w:rPr>
        <w:t xml:space="preserve">e-mail address, website </w:t>
      </w:r>
      <w:r w:rsidRPr="00780B00">
        <w:rPr>
          <w:rFonts w:ascii="Century Gothic" w:hAnsi="Century Gothic"/>
          <w:sz w:val="24"/>
          <w:szCs w:val="24"/>
          <w:highlight w:val="yellow"/>
        </w:rPr>
        <w:t>and SAM registration status;</w:t>
      </w:r>
      <w:r w:rsidR="000A60FC" w:rsidRPr="00780B00">
        <w:rPr>
          <w:rFonts w:ascii="Century Gothic" w:hAnsi="Century Gothic"/>
          <w:sz w:val="24"/>
          <w:szCs w:val="24"/>
          <w:highlight w:val="yellow"/>
        </w:rPr>
        <w:t xml:space="preserve"> </w:t>
      </w:r>
    </w:p>
    <w:p w:rsidR="00C92D95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  <w:highlight w:val="yellow"/>
        </w:rPr>
      </w:pPr>
      <w:r w:rsidRPr="00780B00">
        <w:rPr>
          <w:rFonts w:ascii="Century Gothic" w:hAnsi="Century Gothic"/>
          <w:sz w:val="24"/>
          <w:szCs w:val="24"/>
          <w:highlight w:val="yellow"/>
        </w:rPr>
        <w:t>c. Project purpose that summarizes the objectives, proposed activities, and desired results</w:t>
      </w:r>
      <w:r w:rsidR="007477B0">
        <w:rPr>
          <w:rFonts w:ascii="Century Gothic" w:hAnsi="Century Gothic"/>
          <w:sz w:val="24"/>
          <w:szCs w:val="24"/>
          <w:highlight w:val="yellow"/>
        </w:rPr>
        <w:t>;</w:t>
      </w:r>
    </w:p>
    <w:p w:rsidR="00A53CB8" w:rsidRPr="00780B00" w:rsidRDefault="00A53CB8" w:rsidP="00951A08">
      <w:pPr>
        <w:spacing w:after="0" w:line="240" w:lineRule="auto"/>
        <w:rPr>
          <w:rFonts w:ascii="Century Gothic" w:hAnsi="Century Gothic"/>
          <w:sz w:val="24"/>
          <w:szCs w:val="24"/>
          <w:highlight w:val="yellow"/>
        </w:rPr>
      </w:pPr>
    </w:p>
    <w:p w:rsidR="00C92D95" w:rsidRDefault="000A60FC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780B00">
        <w:rPr>
          <w:rFonts w:ascii="Century Gothic" w:hAnsi="Century Gothic"/>
          <w:sz w:val="24"/>
          <w:szCs w:val="24"/>
          <w:highlight w:val="yellow"/>
        </w:rPr>
        <w:t xml:space="preserve">d. </w:t>
      </w:r>
      <w:r w:rsidR="00C92D95" w:rsidRPr="00780B00">
        <w:rPr>
          <w:rFonts w:ascii="Century Gothic" w:hAnsi="Century Gothic"/>
          <w:sz w:val="24"/>
          <w:szCs w:val="24"/>
          <w:highlight w:val="yellow"/>
        </w:rPr>
        <w:t>Five (5) high quality digital images (JPEGs) or audiovisual files that convey the nature</w:t>
      </w:r>
      <w:r w:rsidR="007477B0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="00C92D95" w:rsidRPr="00780B00">
        <w:rPr>
          <w:rFonts w:ascii="Century Gothic" w:hAnsi="Century Gothic"/>
          <w:sz w:val="24"/>
          <w:szCs w:val="24"/>
          <w:highlight w:val="yellow"/>
        </w:rPr>
        <w:t>and condition of the site, collection, or tradition and show the urgency or need for the</w:t>
      </w:r>
      <w:r w:rsidR="003C0AA6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="00C92D95" w:rsidRPr="00780B00">
        <w:rPr>
          <w:rFonts w:ascii="Century Gothic" w:hAnsi="Century Gothic"/>
          <w:sz w:val="24"/>
          <w:szCs w:val="24"/>
          <w:highlight w:val="yellow"/>
        </w:rPr>
        <w:t>proposed project (collapsing walls, water damage, etc.).</w:t>
      </w:r>
    </w:p>
    <w:p w:rsidR="003C0AA6" w:rsidRPr="00780B00" w:rsidRDefault="003C0AA6" w:rsidP="00951A08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:rsidR="006C0220" w:rsidRPr="00F01BFC" w:rsidRDefault="006C0220" w:rsidP="00B050B8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</w:t>
      </w:r>
      <w:r w:rsidR="00C92D95" w:rsidRPr="00F01BFC">
        <w:rPr>
          <w:rFonts w:ascii="Century Gothic" w:hAnsi="Century Gothic"/>
          <w:sz w:val="24"/>
          <w:szCs w:val="24"/>
        </w:rPr>
        <w:t xml:space="preserve">. Round 2 Full Application Requirements (Deadline: March </w:t>
      </w:r>
      <w:r w:rsidR="005F224D">
        <w:rPr>
          <w:rFonts w:ascii="Century Gothic" w:hAnsi="Century Gothic"/>
          <w:sz w:val="24"/>
          <w:szCs w:val="24"/>
        </w:rPr>
        <w:t>8</w:t>
      </w:r>
      <w:r w:rsidR="000A60FC" w:rsidRPr="00F01BFC">
        <w:rPr>
          <w:rFonts w:ascii="Century Gothic" w:hAnsi="Century Gothic"/>
          <w:sz w:val="24"/>
          <w:szCs w:val="24"/>
        </w:rPr>
        <w:t>, 2021</w:t>
      </w:r>
      <w:r w:rsidR="00B661FC">
        <w:rPr>
          <w:rFonts w:ascii="Century Gothic" w:hAnsi="Century Gothic"/>
          <w:sz w:val="24"/>
          <w:szCs w:val="24"/>
        </w:rPr>
        <w:t>)</w:t>
      </w:r>
    </w:p>
    <w:p w:rsidR="00C92D95" w:rsidRPr="00F01BFC" w:rsidRDefault="006C0220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9. </w:t>
      </w:r>
      <w:r w:rsidR="00C92D95" w:rsidRPr="00F01BFC">
        <w:rPr>
          <w:rFonts w:ascii="Century Gothic" w:hAnsi="Century Gothic"/>
          <w:sz w:val="24"/>
          <w:szCs w:val="24"/>
        </w:rPr>
        <w:t>Ineligible Activities and Unallowable Costs: AFCP does not support the following activities</w:t>
      </w:r>
      <w:r>
        <w:rPr>
          <w:rFonts w:ascii="Century Gothic" w:hAnsi="Century Gothic"/>
          <w:sz w:val="24"/>
          <w:szCs w:val="24"/>
        </w:rPr>
        <w:t xml:space="preserve"> </w:t>
      </w:r>
      <w:r w:rsidR="00C92D95" w:rsidRPr="00F01BFC">
        <w:rPr>
          <w:rFonts w:ascii="Century Gothic" w:hAnsi="Century Gothic"/>
          <w:sz w:val="24"/>
          <w:szCs w:val="24"/>
        </w:rPr>
        <w:t>or costs, and the Center will deem applications involving any of these activities or costs</w:t>
      </w:r>
      <w:r>
        <w:rPr>
          <w:rFonts w:ascii="Century Gothic" w:hAnsi="Century Gothic"/>
          <w:sz w:val="24"/>
          <w:szCs w:val="24"/>
        </w:rPr>
        <w:t xml:space="preserve"> </w:t>
      </w:r>
      <w:r w:rsidR="00C92D95" w:rsidRPr="00F01BFC">
        <w:rPr>
          <w:rFonts w:ascii="Century Gothic" w:hAnsi="Century Gothic"/>
          <w:sz w:val="24"/>
          <w:szCs w:val="24"/>
        </w:rPr>
        <w:t>ineligible: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a. Preservation or purchase of privately or commercially owned cultural objects,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F01BFC">
        <w:rPr>
          <w:rFonts w:ascii="Century Gothic" w:hAnsi="Century Gothic"/>
          <w:sz w:val="24"/>
          <w:szCs w:val="24"/>
        </w:rPr>
        <w:t>collections</w:t>
      </w:r>
      <w:proofErr w:type="gramEnd"/>
      <w:r w:rsidRPr="00F01BFC">
        <w:rPr>
          <w:rFonts w:ascii="Century Gothic" w:hAnsi="Century Gothic"/>
          <w:sz w:val="24"/>
          <w:szCs w:val="24"/>
        </w:rPr>
        <w:t>, or real property, including those whose transfer from private or commercial to</w:t>
      </w:r>
      <w:r w:rsidR="006C0220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public ownership is envisioned, planned, or in process but not complete at the time of</w:t>
      </w:r>
      <w:r w:rsidR="006C0220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application;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b. Preservation of natural heritage (physical, biological, and geological formations,</w:t>
      </w:r>
      <w:r w:rsidR="006C0220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paleontological collections, habitats of threatened species of animals and plants, fossils,</w:t>
      </w:r>
      <w:r w:rsidR="006C0220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etc.);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c. Preservation of hominid or human remains;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d. Preservation of news media (newspapers, newsreels, radio and TV programs, etc.);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e. Preservation of published materials available elsewhere (books, periodicals, etc.);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f. Development of curricula or educational materials for classroom use;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g. Archaeological excavations or exploratory surveys for research purposes;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h. Historical research, except in cases where the research is justifiable and integral to the</w:t>
      </w:r>
      <w:r w:rsidR="00A62C12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success of the proposed project;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 w:rsidRPr="00F01BFC">
        <w:rPr>
          <w:rFonts w:ascii="Century Gothic" w:hAnsi="Century Gothic"/>
          <w:sz w:val="24"/>
          <w:szCs w:val="24"/>
        </w:rPr>
        <w:t>i</w:t>
      </w:r>
      <w:proofErr w:type="spellEnd"/>
      <w:r w:rsidRPr="00F01BFC">
        <w:rPr>
          <w:rFonts w:ascii="Century Gothic" w:hAnsi="Century Gothic"/>
          <w:sz w:val="24"/>
          <w:szCs w:val="24"/>
        </w:rPr>
        <w:t>. Acquisition or creation of new exhibits, objects, or collections for new or existing</w:t>
      </w:r>
      <w:r w:rsidR="00A62C12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museums;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j. Construction of new buildings, building additions, or permanent coverings (over</w:t>
      </w:r>
      <w:r w:rsidR="00A62C12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archaeological sites, for example);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k. Commissions of new works of art or architecture for commemorative or economic</w:t>
      </w:r>
      <w:r w:rsidR="00664966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development purposes;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l. Creation of new or the modern adaptation of existing traditional dances, songs, chants,</w:t>
      </w:r>
      <w:r w:rsidR="00BB5F47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musical compositions, plays, or other performances;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m. Creation of replicas or conjectural reconstructions of cultural objects or sites that no</w:t>
      </w:r>
      <w:r w:rsidR="00BB5F47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longer exist;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n. Relocation of cultural sites from one physical location to another;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lastRenderedPageBreak/>
        <w:t>o. Removal of cultural objects or elements of cultural sites from the country for any</w:t>
      </w:r>
      <w:r w:rsidR="00BB5F47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 xml:space="preserve">reason; 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p. Digitization of cultural objects or collections, unless part of a larger, clearly defined</w:t>
      </w:r>
      <w:r w:rsidR="000272BA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conservation, documentation, or public diplomacy effort;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q. Conservation plans or other studies, unless they are one component of a larger project</w:t>
      </w:r>
      <w:r w:rsidR="000272BA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to implement the results of those studies;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r. Cash reserves, endowments, or revolving funds (funds must be expended within the</w:t>
      </w:r>
      <w:r w:rsidR="000272BA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award period [up to five years] and may not be used to create an endowment or revolving</w:t>
      </w:r>
      <w:r w:rsidR="000272BA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fund);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s. Costs of fund-raising campaigns;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t. Contingency, unforeseen, or miscellaneous costs or fees;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 xml:space="preserve">u. Costs of work performed prior to announcement of the award unless </w:t>
      </w:r>
      <w:r w:rsidR="009A2159">
        <w:rPr>
          <w:rFonts w:ascii="Century Gothic" w:hAnsi="Century Gothic"/>
          <w:sz w:val="24"/>
          <w:szCs w:val="24"/>
        </w:rPr>
        <w:t>a</w:t>
      </w:r>
      <w:r w:rsidRPr="00F01BFC">
        <w:rPr>
          <w:rFonts w:ascii="Century Gothic" w:hAnsi="Century Gothic"/>
          <w:sz w:val="24"/>
          <w:szCs w:val="24"/>
        </w:rPr>
        <w:t>llowable per 2</w:t>
      </w:r>
      <w:r w:rsidR="009A2159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CFR 200.458 and approved by the Grants Officer;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v. International travel, except in cases where travel is justifiable and integral to the success</w:t>
      </w:r>
      <w:r w:rsidR="009A2159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of the proposed project or to provide project leaders with learning and exchange</w:t>
      </w:r>
      <w:r w:rsidR="009A2159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opportunities with cultural heritage experts;</w:t>
      </w:r>
    </w:p>
    <w:p w:rsidR="00C92D95" w:rsidRPr="00F01BFC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>w. Individual projects costing less than US $10,000 or more than $500,000;</w:t>
      </w:r>
    </w:p>
    <w:p w:rsidR="00C92D95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01BFC">
        <w:rPr>
          <w:rFonts w:ascii="Century Gothic" w:hAnsi="Century Gothic"/>
          <w:sz w:val="24"/>
          <w:szCs w:val="24"/>
        </w:rPr>
        <w:t xml:space="preserve">x. </w:t>
      </w:r>
      <w:r w:rsidR="003210E4">
        <w:rPr>
          <w:rFonts w:ascii="Century Gothic" w:hAnsi="Century Gothic"/>
          <w:sz w:val="24"/>
          <w:szCs w:val="24"/>
        </w:rPr>
        <w:t xml:space="preserve"> </w:t>
      </w:r>
      <w:r w:rsidRPr="00F01BFC">
        <w:rPr>
          <w:rFonts w:ascii="Century Gothic" w:hAnsi="Century Gothic"/>
          <w:sz w:val="24"/>
          <w:szCs w:val="24"/>
        </w:rPr>
        <w:t>Independent U.S. projects overseas.</w:t>
      </w:r>
    </w:p>
    <w:p w:rsidR="005D3CA7" w:rsidRPr="00F01BFC" w:rsidRDefault="005D3CA7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92D95" w:rsidRPr="002B49F6" w:rsidRDefault="005D3CA7" w:rsidP="00951A08">
      <w:pPr>
        <w:spacing w:after="0" w:line="240" w:lineRule="auto"/>
        <w:rPr>
          <w:rFonts w:ascii="Century Gothic" w:hAnsi="Century Gothic"/>
          <w:sz w:val="24"/>
          <w:szCs w:val="24"/>
          <w:highlight w:val="yellow"/>
        </w:rPr>
      </w:pPr>
      <w:r w:rsidRPr="002B49F6">
        <w:rPr>
          <w:rFonts w:ascii="Century Gothic" w:hAnsi="Century Gothic"/>
          <w:sz w:val="24"/>
          <w:szCs w:val="24"/>
          <w:highlight w:val="yellow"/>
        </w:rPr>
        <w:t>10</w:t>
      </w:r>
      <w:r w:rsidR="00C92D95" w:rsidRPr="002B49F6">
        <w:rPr>
          <w:rFonts w:ascii="Century Gothic" w:hAnsi="Century Gothic"/>
          <w:sz w:val="24"/>
          <w:szCs w:val="24"/>
          <w:highlight w:val="yellow"/>
        </w:rPr>
        <w:t>. DUNS Number and SAM Registration: An implementing partner must have</w:t>
      </w:r>
    </w:p>
    <w:p w:rsidR="005D3CA7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  <w:highlight w:val="yellow"/>
        </w:rPr>
      </w:pPr>
      <w:r w:rsidRPr="002B49F6">
        <w:rPr>
          <w:rFonts w:ascii="Century Gothic" w:hAnsi="Century Gothic"/>
          <w:sz w:val="24"/>
          <w:szCs w:val="24"/>
          <w:highlight w:val="yellow"/>
        </w:rPr>
        <w:t>a unique entity identifier (UEI), such as a Dun &amp; Bradstreet Universal Numbering System (DUNS)</w:t>
      </w:r>
      <w:r w:rsidR="005D3CA7" w:rsidRPr="002B49F6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Pr="002B49F6">
        <w:rPr>
          <w:rFonts w:ascii="Century Gothic" w:hAnsi="Century Gothic"/>
          <w:sz w:val="24"/>
          <w:szCs w:val="24"/>
          <w:highlight w:val="yellow"/>
        </w:rPr>
        <w:t>number, a NATO Commercial and Government Entity (NCAGE) code, and be registered in the</w:t>
      </w:r>
      <w:r w:rsidR="005D3CA7" w:rsidRPr="002B49F6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Pr="002B49F6">
        <w:rPr>
          <w:rFonts w:ascii="Century Gothic" w:hAnsi="Century Gothic"/>
          <w:sz w:val="24"/>
          <w:szCs w:val="24"/>
          <w:highlight w:val="yellow"/>
        </w:rPr>
        <w:t>System for Award Management (SAM) prior to receiving U.S. federal assistance</w:t>
      </w:r>
      <w:r w:rsidR="00981A7E" w:rsidRPr="002B49F6">
        <w:rPr>
          <w:rFonts w:ascii="Century Gothic" w:hAnsi="Century Gothic"/>
          <w:sz w:val="24"/>
          <w:szCs w:val="24"/>
          <w:highlight w:val="yellow"/>
        </w:rPr>
        <w:t>.</w:t>
      </w:r>
      <w:r w:rsidRPr="002B49F6">
        <w:rPr>
          <w:rFonts w:ascii="Century Gothic" w:hAnsi="Century Gothic"/>
          <w:sz w:val="24"/>
          <w:szCs w:val="24"/>
          <w:highlight w:val="yellow"/>
        </w:rPr>
        <w:t xml:space="preserve"> </w:t>
      </w:r>
    </w:p>
    <w:p w:rsidR="00A53CB8" w:rsidRPr="002B49F6" w:rsidRDefault="00A53CB8" w:rsidP="00951A08">
      <w:pPr>
        <w:spacing w:after="0" w:line="240" w:lineRule="auto"/>
        <w:rPr>
          <w:rFonts w:ascii="Century Gothic" w:hAnsi="Century Gothic"/>
          <w:sz w:val="24"/>
          <w:szCs w:val="24"/>
          <w:highlight w:val="yellow"/>
        </w:rPr>
      </w:pPr>
    </w:p>
    <w:p w:rsidR="00FB1112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  <w:highlight w:val="yellow"/>
        </w:rPr>
      </w:pPr>
      <w:r w:rsidRPr="002B49F6">
        <w:rPr>
          <w:rFonts w:ascii="Century Gothic" w:hAnsi="Century Gothic"/>
          <w:sz w:val="24"/>
          <w:szCs w:val="24"/>
          <w:highlight w:val="yellow"/>
        </w:rPr>
        <w:t>The DUNS, NCAGE,</w:t>
      </w:r>
      <w:r w:rsidR="00981A7E" w:rsidRPr="002B49F6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Pr="002B49F6">
        <w:rPr>
          <w:rFonts w:ascii="Century Gothic" w:hAnsi="Century Gothic"/>
          <w:sz w:val="24"/>
          <w:szCs w:val="24"/>
          <w:highlight w:val="yellow"/>
        </w:rPr>
        <w:t xml:space="preserve">and SAM.gov processes can take </w:t>
      </w:r>
      <w:r w:rsidR="00981A7E" w:rsidRPr="002B49F6">
        <w:rPr>
          <w:rFonts w:ascii="Century Gothic" w:hAnsi="Century Gothic"/>
          <w:sz w:val="24"/>
          <w:szCs w:val="24"/>
          <w:highlight w:val="yellow"/>
        </w:rPr>
        <w:t xml:space="preserve">days or </w:t>
      </w:r>
      <w:r w:rsidRPr="002B49F6">
        <w:rPr>
          <w:rFonts w:ascii="Century Gothic" w:hAnsi="Century Gothic"/>
          <w:sz w:val="24"/>
          <w:szCs w:val="24"/>
          <w:highlight w:val="yellow"/>
        </w:rPr>
        <w:t>weeks, especially for non-U.S.</w:t>
      </w:r>
      <w:r w:rsidR="00981A7E" w:rsidRPr="002B49F6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Pr="002B49F6">
        <w:rPr>
          <w:rFonts w:ascii="Century Gothic" w:hAnsi="Century Gothic"/>
          <w:sz w:val="24"/>
          <w:szCs w:val="24"/>
          <w:highlight w:val="yellow"/>
        </w:rPr>
        <w:t>applicants. Applicants may acquire DUNS numbers at no cost by calling the dedicated toll-free</w:t>
      </w:r>
      <w:r w:rsidR="00981A7E" w:rsidRPr="002B49F6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Pr="002B49F6">
        <w:rPr>
          <w:rFonts w:ascii="Century Gothic" w:hAnsi="Century Gothic"/>
          <w:sz w:val="24"/>
          <w:szCs w:val="24"/>
          <w:highlight w:val="yellow"/>
        </w:rPr>
        <w:t>DUNS number request line at 1-866-705-5711 or by requesting a number online</w:t>
      </w:r>
      <w:r w:rsidR="00981A7E" w:rsidRPr="002B49F6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Pr="002B49F6">
        <w:rPr>
          <w:rFonts w:ascii="Century Gothic" w:hAnsi="Century Gothic"/>
          <w:sz w:val="24"/>
          <w:szCs w:val="24"/>
          <w:highlight w:val="yellow"/>
        </w:rPr>
        <w:t xml:space="preserve">at </w:t>
      </w:r>
      <w:hyperlink r:id="rId7" w:history="1">
        <w:r w:rsidR="00FB1112" w:rsidRPr="00977613">
          <w:rPr>
            <w:rStyle w:val="Hyperlink"/>
            <w:rFonts w:ascii="Century Gothic" w:hAnsi="Century Gothic"/>
            <w:sz w:val="24"/>
            <w:szCs w:val="24"/>
            <w:highlight w:val="yellow"/>
          </w:rPr>
          <w:t>http://fedgov.dnb.com/webform</w:t>
        </w:r>
      </w:hyperlink>
      <w:r w:rsidRPr="002B49F6">
        <w:rPr>
          <w:rFonts w:ascii="Century Gothic" w:hAnsi="Century Gothic"/>
          <w:sz w:val="24"/>
          <w:szCs w:val="24"/>
          <w:highlight w:val="yellow"/>
        </w:rPr>
        <w:t>.</w:t>
      </w:r>
    </w:p>
    <w:p w:rsidR="00FB1112" w:rsidRDefault="00FB1112" w:rsidP="00951A08">
      <w:pPr>
        <w:spacing w:after="0" w:line="240" w:lineRule="auto"/>
        <w:rPr>
          <w:rFonts w:ascii="Century Gothic" w:hAnsi="Century Gothic"/>
          <w:sz w:val="24"/>
          <w:szCs w:val="24"/>
          <w:highlight w:val="yellow"/>
        </w:rPr>
      </w:pPr>
    </w:p>
    <w:p w:rsidR="00A53CB8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  <w:highlight w:val="yellow"/>
        </w:rPr>
      </w:pPr>
      <w:r w:rsidRPr="002B49F6">
        <w:rPr>
          <w:rFonts w:ascii="Century Gothic" w:hAnsi="Century Gothic"/>
          <w:sz w:val="24"/>
          <w:szCs w:val="24"/>
          <w:highlight w:val="yellow"/>
        </w:rPr>
        <w:t>Non-U.S. based applicants may request a NCAGE code</w:t>
      </w:r>
      <w:r w:rsidR="00981A7E" w:rsidRPr="002B49F6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Pr="002B49F6">
        <w:rPr>
          <w:rFonts w:ascii="Century Gothic" w:hAnsi="Century Gothic"/>
          <w:sz w:val="24"/>
          <w:szCs w:val="24"/>
          <w:highlight w:val="yellow"/>
        </w:rPr>
        <w:t xml:space="preserve">at </w:t>
      </w:r>
    </w:p>
    <w:p w:rsidR="00C92D95" w:rsidRDefault="00C92D95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B49F6">
        <w:rPr>
          <w:rFonts w:ascii="Century Gothic" w:hAnsi="Century Gothic"/>
          <w:sz w:val="24"/>
          <w:szCs w:val="24"/>
          <w:highlight w:val="yellow"/>
        </w:rPr>
        <w:t>https://eportal.nspa.nato.int/AC135Public/scage/CageList.aspx. SAM.gov is the official, free</w:t>
      </w:r>
      <w:r w:rsidR="00981A7E" w:rsidRPr="002B49F6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Pr="002B49F6">
        <w:rPr>
          <w:rFonts w:ascii="Century Gothic" w:hAnsi="Century Gothic"/>
          <w:sz w:val="24"/>
          <w:szCs w:val="24"/>
          <w:highlight w:val="yellow"/>
        </w:rPr>
        <w:t>on-line registration database for the U.S. government. SAM.gov replaced the Central</w:t>
      </w:r>
      <w:r w:rsidR="00981A7E" w:rsidRPr="002B49F6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Pr="002B49F6">
        <w:rPr>
          <w:rFonts w:ascii="Century Gothic" w:hAnsi="Century Gothic"/>
          <w:sz w:val="24"/>
          <w:szCs w:val="24"/>
          <w:highlight w:val="yellow"/>
        </w:rPr>
        <w:t>Contractor Registration (CCR), the Online Representations and Certifications Application</w:t>
      </w:r>
      <w:r w:rsidR="00981A7E" w:rsidRPr="002B49F6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Pr="002B49F6">
        <w:rPr>
          <w:rFonts w:ascii="Century Gothic" w:hAnsi="Century Gothic"/>
          <w:sz w:val="24"/>
          <w:szCs w:val="24"/>
          <w:highlight w:val="yellow"/>
        </w:rPr>
        <w:t>(ORCA), and the Excluded Parties List System (EPLS) in July 2012. SAM.gov collects, validates,</w:t>
      </w:r>
      <w:r w:rsidR="00981A7E" w:rsidRPr="002B49F6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Pr="002B49F6">
        <w:rPr>
          <w:rFonts w:ascii="Century Gothic" w:hAnsi="Century Gothic"/>
          <w:sz w:val="24"/>
          <w:szCs w:val="24"/>
          <w:highlight w:val="yellow"/>
        </w:rPr>
        <w:t>stores, and disseminates data in support of federal agency acquisition and grant award</w:t>
      </w:r>
      <w:r w:rsidR="00981A7E" w:rsidRPr="002B49F6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Pr="002B49F6">
        <w:rPr>
          <w:rFonts w:ascii="Century Gothic" w:hAnsi="Century Gothic"/>
          <w:sz w:val="24"/>
          <w:szCs w:val="24"/>
          <w:highlight w:val="yellow"/>
        </w:rPr>
        <w:t xml:space="preserve">missions. Registration in SAM is free: </w:t>
      </w:r>
      <w:hyperlink r:id="rId8" w:history="1">
        <w:r w:rsidR="00981A7E" w:rsidRPr="002B49F6">
          <w:rPr>
            <w:rStyle w:val="Hyperlink"/>
            <w:rFonts w:ascii="Century Gothic" w:hAnsi="Century Gothic"/>
            <w:sz w:val="24"/>
            <w:szCs w:val="24"/>
            <w:highlight w:val="yellow"/>
          </w:rPr>
          <w:t>http://sam.gov</w:t>
        </w:r>
      </w:hyperlink>
      <w:r w:rsidRPr="002B49F6">
        <w:rPr>
          <w:rFonts w:ascii="Century Gothic" w:hAnsi="Century Gothic"/>
          <w:sz w:val="24"/>
          <w:szCs w:val="24"/>
          <w:highlight w:val="yellow"/>
        </w:rPr>
        <w:t>.</w:t>
      </w:r>
    </w:p>
    <w:p w:rsidR="00640B8C" w:rsidRDefault="00640B8C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40B8C" w:rsidRDefault="00640B8C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640B8C">
        <w:rPr>
          <w:rFonts w:ascii="Century Gothic" w:hAnsi="Century Gothic"/>
          <w:sz w:val="24"/>
          <w:szCs w:val="24"/>
          <w:highlight w:val="yellow"/>
        </w:rPr>
        <w:t>For supplementary information and extra support in obtaining SAM, DUNS, NCAGE, please write to e-mail alexandrescui@state.gov.</w:t>
      </w:r>
    </w:p>
    <w:p w:rsidR="00535F7C" w:rsidRPr="00F01BFC" w:rsidRDefault="00981A7E" w:rsidP="00951A08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sectPr w:rsidR="00535F7C" w:rsidRPr="00F01BFC" w:rsidSect="00AC19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46D" w:rsidRDefault="0014546D" w:rsidP="0077796D">
      <w:pPr>
        <w:spacing w:after="0" w:line="240" w:lineRule="auto"/>
      </w:pPr>
      <w:r>
        <w:separator/>
      </w:r>
    </w:p>
  </w:endnote>
  <w:endnote w:type="continuationSeparator" w:id="0">
    <w:p w:rsidR="0014546D" w:rsidRDefault="0014546D" w:rsidP="0077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6D" w:rsidRDefault="007779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6D" w:rsidRDefault="0080009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6d9c49a08ee10ce9e80a4e0d" o:spid="_x0000_s4097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" o:allowincell="f" filled="f" stroked="f">
          <v:textbox inset=",0,,0">
            <w:txbxContent>
              <w:p w:rsidR="0077796D" w:rsidRPr="0077796D" w:rsidRDefault="0077796D" w:rsidP="0077796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/>
                    <w:sz w:val="20"/>
                  </w:rPr>
                </w:pPr>
                <w:r w:rsidRPr="0077796D">
                  <w:rPr>
                    <w:rFonts w:ascii="Times New Roman" w:hAnsi="Times New Roman" w:cs="Times New Roman"/>
                    <w:color w:val="000000"/>
                    <w:sz w:val="20"/>
                  </w:rPr>
                  <w:t>SENSITIVE BUT UNCLASSIFIED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6D" w:rsidRDefault="007779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46D" w:rsidRDefault="0014546D" w:rsidP="0077796D">
      <w:pPr>
        <w:spacing w:after="0" w:line="240" w:lineRule="auto"/>
      </w:pPr>
      <w:r>
        <w:separator/>
      </w:r>
    </w:p>
  </w:footnote>
  <w:footnote w:type="continuationSeparator" w:id="0">
    <w:p w:rsidR="0014546D" w:rsidRDefault="0014546D" w:rsidP="0077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6D" w:rsidRDefault="007779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6D" w:rsidRDefault="007779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6D" w:rsidRDefault="007779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03BF"/>
    <w:rsid w:val="000272BA"/>
    <w:rsid w:val="00073AD8"/>
    <w:rsid w:val="000A60FC"/>
    <w:rsid w:val="000A6A03"/>
    <w:rsid w:val="0011221B"/>
    <w:rsid w:val="0014546D"/>
    <w:rsid w:val="00207553"/>
    <w:rsid w:val="00212269"/>
    <w:rsid w:val="0023111F"/>
    <w:rsid w:val="002551A4"/>
    <w:rsid w:val="002803BF"/>
    <w:rsid w:val="002B49F6"/>
    <w:rsid w:val="002D67F7"/>
    <w:rsid w:val="002F48AB"/>
    <w:rsid w:val="002F568C"/>
    <w:rsid w:val="00313EB6"/>
    <w:rsid w:val="003210E4"/>
    <w:rsid w:val="003C0AA6"/>
    <w:rsid w:val="003C7582"/>
    <w:rsid w:val="00443024"/>
    <w:rsid w:val="00474A3E"/>
    <w:rsid w:val="0049212C"/>
    <w:rsid w:val="00552690"/>
    <w:rsid w:val="005D3CA7"/>
    <w:rsid w:val="005F0D9D"/>
    <w:rsid w:val="005F224D"/>
    <w:rsid w:val="0064050D"/>
    <w:rsid w:val="00640B8C"/>
    <w:rsid w:val="00664966"/>
    <w:rsid w:val="006B278C"/>
    <w:rsid w:val="006C0220"/>
    <w:rsid w:val="007477B0"/>
    <w:rsid w:val="0077796D"/>
    <w:rsid w:val="00780B00"/>
    <w:rsid w:val="007F3A91"/>
    <w:rsid w:val="007F7373"/>
    <w:rsid w:val="0080009A"/>
    <w:rsid w:val="00800CF1"/>
    <w:rsid w:val="008D4F47"/>
    <w:rsid w:val="0094407D"/>
    <w:rsid w:val="009505DB"/>
    <w:rsid w:val="00951A08"/>
    <w:rsid w:val="00981A7E"/>
    <w:rsid w:val="00987775"/>
    <w:rsid w:val="009A2159"/>
    <w:rsid w:val="009C4400"/>
    <w:rsid w:val="009F611F"/>
    <w:rsid w:val="00A14B8F"/>
    <w:rsid w:val="00A53CB8"/>
    <w:rsid w:val="00A62C12"/>
    <w:rsid w:val="00AB34E1"/>
    <w:rsid w:val="00AC1970"/>
    <w:rsid w:val="00B050B8"/>
    <w:rsid w:val="00B661FC"/>
    <w:rsid w:val="00B875AD"/>
    <w:rsid w:val="00B906DA"/>
    <w:rsid w:val="00BB5F47"/>
    <w:rsid w:val="00BC60D5"/>
    <w:rsid w:val="00C84686"/>
    <w:rsid w:val="00C92D95"/>
    <w:rsid w:val="00CA57ED"/>
    <w:rsid w:val="00CC7614"/>
    <w:rsid w:val="00D509B5"/>
    <w:rsid w:val="00E015D6"/>
    <w:rsid w:val="00E56200"/>
    <w:rsid w:val="00E93428"/>
    <w:rsid w:val="00EF39F1"/>
    <w:rsid w:val="00F01BFC"/>
    <w:rsid w:val="00F37C79"/>
    <w:rsid w:val="00FB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96D"/>
  </w:style>
  <w:style w:type="paragraph" w:styleId="Footer">
    <w:name w:val="footer"/>
    <w:basedOn w:val="Normal"/>
    <w:link w:val="FooterChar"/>
    <w:uiPriority w:val="99"/>
    <w:unhideWhenUsed/>
    <w:rsid w:val="0077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96D"/>
  </w:style>
  <w:style w:type="character" w:styleId="Hyperlink">
    <w:name w:val="Hyperlink"/>
    <w:basedOn w:val="DefaultParagraphFont"/>
    <w:uiPriority w:val="99"/>
    <w:unhideWhenUsed/>
    <w:rsid w:val="005D3CA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3C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3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.gov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fedgov.dnb.com/webfor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exandrescui@state.gov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46</cp:revision>
  <dcterms:created xsi:type="dcterms:W3CDTF">2020-10-14T08:23:00Z</dcterms:created>
  <dcterms:modified xsi:type="dcterms:W3CDTF">2020-10-18T10:15:00Z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3cdd76-ed86-4455-8be3-c27733367ace_Enabled">
    <vt:lpwstr>True</vt:lpwstr>
  </property>
  <property fmtid="{D5CDD505-2E9C-101B-9397-08002B2CF9AE}" pid="3" name="MSIP_Label_0d3cdd76-ed86-4455-8be3-c27733367ace_SiteId">
    <vt:lpwstr>66cf5074-5afe-48d1-a691-a12b2121f44b</vt:lpwstr>
  </property>
  <property fmtid="{D5CDD505-2E9C-101B-9397-08002B2CF9AE}" pid="4" name="MSIP_Label_0d3cdd76-ed86-4455-8be3-c27733367ace_Owner">
    <vt:lpwstr>alexandrescui@state.gov</vt:lpwstr>
  </property>
  <property fmtid="{D5CDD505-2E9C-101B-9397-08002B2CF9AE}" pid="5" name="MSIP_Label_0d3cdd76-ed86-4455-8be3-c27733367ace_SetDate">
    <vt:lpwstr>2020-10-14T08:23:27.2477480Z</vt:lpwstr>
  </property>
  <property fmtid="{D5CDD505-2E9C-101B-9397-08002B2CF9AE}" pid="6" name="MSIP_Label_0d3cdd76-ed86-4455-8be3-c27733367ace_Name">
    <vt:lpwstr>SBU</vt:lpwstr>
  </property>
  <property fmtid="{D5CDD505-2E9C-101B-9397-08002B2CF9AE}" pid="7" name="MSIP_Label_0d3cdd76-ed86-4455-8be3-c27733367ace_Application">
    <vt:lpwstr>Microsoft Azure Information Protection</vt:lpwstr>
  </property>
  <property fmtid="{D5CDD505-2E9C-101B-9397-08002B2CF9AE}" pid="8" name="MSIP_Label_0d3cdd76-ed86-4455-8be3-c27733367ace_ActionId">
    <vt:lpwstr>0213c6a1-65bc-43d9-abda-e2b4488f0230</vt:lpwstr>
  </property>
  <property fmtid="{D5CDD505-2E9C-101B-9397-08002B2CF9AE}" pid="9" name="MSIP_Label_0d3cdd76-ed86-4455-8be3-c27733367ace_Extended_MSFT_Method">
    <vt:lpwstr>Manual</vt:lpwstr>
  </property>
  <property fmtid="{D5CDD505-2E9C-101B-9397-08002B2CF9AE}" pid="10" name="Sensitivity">
    <vt:lpwstr>SBU</vt:lpwstr>
  </property>
</Properties>
</file>